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202" coordsize="21600,21600" o:spt="202.0" path="m,l,21600r21600,l21600,xe">
            <v:stroke joinstyle="miter"/>
            <v:path o:connecttype="rect" gradientshapeok="t"/>
          </v:shapetype>
        </w:pict>
      </w:r>
    </w:p>
    <w:p w:rsidR="00000000" w:rsidDel="00000000" w:rsidP="00000000" w:rsidRDefault="00000000" w:rsidRPr="00000000" w14:paraId="00000002">
      <w:pPr>
        <w:tabs>
          <w:tab w:val="left" w:pos="567"/>
        </w:tabs>
        <w:spacing w:line="360" w:lineRule="auto"/>
        <w:jc w:val="both"/>
        <w:rPr>
          <w:rFonts w:ascii="Arial" w:cs="Arial" w:eastAsia="Arial" w:hAnsi="Arial"/>
        </w:rPr>
      </w:pPr>
      <w:r w:rsidDel="00000000" w:rsidR="00000000" w:rsidRPr="00000000">
        <w:rPr>
          <w:rtl w:val="0"/>
        </w:rPr>
      </w:r>
    </w:p>
    <w:tbl>
      <w:tblPr>
        <w:tblStyle w:val="Table1"/>
        <w:tblW w:w="849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45"/>
        <w:gridCol w:w="645"/>
        <w:tblGridChange w:id="0">
          <w:tblGrid>
            <w:gridCol w:w="7845"/>
            <w:gridCol w:w="645"/>
          </w:tblGrid>
        </w:tblGridChange>
      </w:tblGrid>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3">
            <w:pPr>
              <w:tabs>
                <w:tab w:val="left" w:pos="567"/>
              </w:tabs>
              <w:spacing w:line="360" w:lineRule="auto"/>
              <w:jc w:val="both"/>
              <w:rPr>
                <w:rFonts w:ascii="Arial" w:cs="Arial" w:eastAsia="Arial" w:hAnsi="Arial"/>
              </w:rPr>
            </w:pPr>
            <w:r w:rsidDel="00000000" w:rsidR="00000000" w:rsidRPr="00000000">
              <w:rPr>
                <w:rFonts w:ascii="Arial" w:cs="Arial" w:eastAsia="Arial" w:hAnsi="Arial"/>
                <w:b w:val="1"/>
                <w:rtl w:val="0"/>
              </w:rPr>
              <w:t xml:space="preserve">CÓDIGO DE ENQUADRAMENTO:</w:t>
            </w: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05">
            <w:pPr>
              <w:tabs>
                <w:tab w:val="left" w:pos="567"/>
              </w:tabs>
              <w:spacing w:line="360" w:lineRule="auto"/>
              <w:jc w:val="both"/>
              <w:rPr>
                <w:rFonts w:ascii="Arial" w:cs="Arial" w:eastAsia="Arial" w:hAnsi="Arial"/>
              </w:rPr>
            </w:pPr>
            <w:r w:rsidDel="00000000" w:rsidR="00000000" w:rsidRPr="00000000">
              <w:rPr>
                <w:rFonts w:ascii="Arial" w:cs="Arial" w:eastAsia="Arial" w:hAnsi="Arial"/>
                <w:b w:val="1"/>
                <w:rtl w:val="0"/>
              </w:rPr>
              <w:t xml:space="preserve">PARA REQUERIMENTO DE LICENÇA DE OPERAÇÃO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7">
            <w:pPr>
              <w:numPr>
                <w:ilvl w:val="0"/>
                <w:numId w:val="1"/>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 Laudo técnico relativo à estanqueidade dos sistemas de armazenamento e distribuição de combustíveis (que poderá ser cobrado em qualquer fase da operação da atividade, a critério do órgão ambiental);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numPr>
                <w:ilvl w:val="0"/>
                <w:numId w:val="1"/>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 Laudo técnico de passivos ambientais (contaminação do solo e da água), sendo o trabalho de campo executado em qualquer fase do processo de licenciamento, salvo as hipóteses elencadas nesta instrução normativa, estando isentos de tais estudos os empreendimentos que operam segundo boas práticas ambientais desde o início de suas atividades com todos os equipamentos e contenções necessárias e que nunca apresentaram teste de estanqueidade não conforme.</w:t>
            </w:r>
          </w:p>
        </w:tc>
        <w:tc>
          <w:tcPr>
            <w:shd w:fill="auto" w:val="clear"/>
            <w:tcMar>
              <w:top w:w="100.0" w:type="dxa"/>
              <w:left w:w="100.0" w:type="dxa"/>
              <w:bottom w:w="100.0" w:type="dxa"/>
              <w:right w:w="100.0" w:type="dxa"/>
            </w:tcMar>
            <w:vAlign w:val="top"/>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B">
            <w:pPr>
              <w:numPr>
                <w:ilvl w:val="0"/>
                <w:numId w:val="1"/>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 Atestado de vistoria do Corpo de Bombeiros;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D">
            <w:pPr>
              <w:numPr>
                <w:ilvl w:val="0"/>
                <w:numId w:val="1"/>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 Registro na ANP;</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F">
            <w:pPr>
              <w:numPr>
                <w:ilvl w:val="0"/>
                <w:numId w:val="1"/>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 Relatório de retirada e destinação de tanques, se for o caso,sendo compulsória a apresentação do relatório;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rHeight w:val="42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011">
            <w:pPr>
              <w:tabs>
                <w:tab w:val="left" w:pos="567"/>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6 –Para os casos de novos empreendimentos, apresentar a seguinte documentação comprobatória dos serviços realizados para instalação de sistema de abastecimento de GNV:</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3">
            <w:pPr>
              <w:numPr>
                <w:ilvl w:val="0"/>
                <w:numId w:val="2"/>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Anotação de Responsabilidade Técnica – ART - de projeto e execução das instalações de Gás Natural Veicular - (GNV). OBS: Os estabelecimentos que comercializam GNV devem atender as especificações da ABNT NBR 12236 - “Critérios de projeto, montagem e operação de postos de gás combustível comprimido” ou a que vier substituí-la;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numPr>
                <w:ilvl w:val="0"/>
                <w:numId w:val="2"/>
              </w:numPr>
              <w:tabs>
                <w:tab w:val="left" w:pos="567"/>
              </w:tabs>
              <w:spacing w:line="360" w:lineRule="auto"/>
              <w:ind w:left="19" w:firstLine="0"/>
              <w:jc w:val="both"/>
              <w:rPr>
                <w:rFonts w:ascii="Arial" w:cs="Arial" w:eastAsia="Arial" w:hAnsi="Arial"/>
                <w:sz w:val="22"/>
                <w:szCs w:val="22"/>
              </w:rPr>
            </w:pPr>
            <w:r w:rsidDel="00000000" w:rsidR="00000000" w:rsidRPr="00000000">
              <w:rPr>
                <w:rFonts w:ascii="Arial" w:cs="Arial" w:eastAsia="Arial" w:hAnsi="Arial"/>
                <w:rtl w:val="0"/>
              </w:rPr>
              <w:t xml:space="preserve">Laudo de Profissional habilitado, acompanhado da respectiva Anotação de Responsabilidade Técnica – ART - atestando que a proteção acústica para o compressor, atende aos critérios da norma ABNT NBR 10151 ou a regulamento Municipal e que os ruídos foram avaliados conforme a ABNT NBR 10152.</w:t>
            </w:r>
          </w:p>
        </w:tc>
        <w:tc>
          <w:tcPr>
            <w:shd w:fill="auto" w:val="clear"/>
            <w:tcMar>
              <w:top w:w="100.0" w:type="dxa"/>
              <w:left w:w="100.0" w:type="dxa"/>
              <w:bottom w:w="100.0" w:type="dxa"/>
              <w:right w:w="100.0" w:type="dxa"/>
            </w:tcMar>
            <w:vAlign w:val="top"/>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tabs>
                <w:tab w:val="left" w:pos="567"/>
              </w:tabs>
              <w:spacing w:line="360" w:lineRule="auto"/>
              <w:ind w:left="19" w:firstLine="0"/>
              <w:jc w:val="both"/>
              <w:rPr>
                <w:rFonts w:ascii="Arial" w:cs="Arial" w:eastAsia="Arial" w:hAnsi="Arial"/>
                <w:b w:val="1"/>
              </w:rPr>
            </w:pPr>
            <w:r w:rsidDel="00000000" w:rsidR="00000000" w:rsidRPr="00000000">
              <w:rPr>
                <w:rFonts w:ascii="Arial" w:cs="Arial" w:eastAsia="Arial" w:hAnsi="Arial"/>
                <w:b w:val="1"/>
                <w:rtl w:val="0"/>
              </w:rPr>
              <w:t xml:space="preserve">7 – Para os casos de novos empreendimentos, apresentar Anotação de Responsabilidade Técnica – ART – da execução do Sistema de Proteção contra Descargas Atmosféricas. A execução das instalações elétricas deve ser realizada, conforme ABNT NBR 14639/01 ou a que vier substituí-la;</w:t>
            </w:r>
          </w:p>
        </w:tc>
        <w:tc>
          <w:tcPr>
            <w:shd w:fill="auto" w:val="clear"/>
            <w:tcMar>
              <w:top w:w="100.0" w:type="dxa"/>
              <w:left w:w="100.0" w:type="dxa"/>
              <w:bottom w:w="100.0" w:type="dxa"/>
              <w:right w:w="100.0" w:type="dxa"/>
            </w:tcMa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9">
            <w:pPr>
              <w:tabs>
                <w:tab w:val="left" w:pos="567"/>
              </w:tabs>
              <w:spacing w:line="360" w:lineRule="auto"/>
              <w:jc w:val="both"/>
              <w:rPr>
                <w:rFonts w:ascii="Arial" w:cs="Arial" w:eastAsia="Arial" w:hAnsi="Arial"/>
                <w:b w:val="1"/>
              </w:rPr>
            </w:pPr>
            <w:r w:rsidDel="00000000" w:rsidR="00000000" w:rsidRPr="00000000">
              <w:rPr>
                <w:rFonts w:ascii="Arial" w:cs="Arial" w:eastAsia="Arial" w:hAnsi="Arial"/>
                <w:b w:val="1"/>
                <w:rtl w:val="0"/>
              </w:rPr>
              <w:t xml:space="preserve">8 – Para os casos de novos empreendimentos, apresentar cópias das notas fiscais dos equipamentos (válvula anti-transbordamento, válvulas de retenção, tubulações, sistema de monitoramento intersticial) ou notas fiscais emitidas pelo instalador desde que constem a identificação do fabricante, do modelo e número de série do equipamento e, cópias das notas fiscais dos tanques devidamente preenchidas e identificadas</w:t>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1B">
      <w:pPr>
        <w:tabs>
          <w:tab w:val="left" w:pos="567"/>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C">
      <w:pPr>
        <w:tabs>
          <w:tab w:val="left" w:pos="567"/>
        </w:tabs>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1D">
      <w:pPr>
        <w:tabs>
          <w:tab w:val="left" w:pos="567"/>
        </w:tabs>
        <w:spacing w:line="360" w:lineRule="auto"/>
        <w:ind w:left="0" w:firstLine="0"/>
        <w:jc w:val="both"/>
        <w:rPr>
          <w:rFonts w:ascii="Arial" w:cs="Arial" w:eastAsia="Arial" w:hAnsi="Arial"/>
        </w:rPr>
      </w:pPr>
      <w:r w:rsidDel="00000000" w:rsidR="00000000" w:rsidRPr="00000000">
        <w:rPr>
          <w:rtl w:val="0"/>
        </w:rPr>
      </w:r>
    </w:p>
    <w:sectPr>
      <w:headerReference r:id="rId7" w:type="default"/>
      <w:footerReference r:id="rId8" w:type="default"/>
      <w:pgSz w:h="16838" w:w="11906" w:orient="portrait"/>
      <w:pgMar w:bottom="1417" w:top="1417" w:left="1701" w:right="1701" w:header="568" w:footer="525.000000000002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Verdana"/>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1">
    <w:pPr>
      <w:pageBreakBefore w:val="0"/>
      <w:pBdr>
        <w:top w:color="000000" w:space="1" w:sz="4" w:val="single"/>
      </w:pBdr>
      <w:spacing w:after="0" w:line="240" w:lineRule="auto"/>
      <w:ind w:hanging="567"/>
      <w:jc w:val="center"/>
      <w:rPr/>
    </w:pPr>
    <w:r w:rsidDel="00000000" w:rsidR="00000000" w:rsidRPr="00000000">
      <w:rPr>
        <w:rtl w:val="0"/>
      </w:rPr>
      <w:t xml:space="preserve">Rua Paschoal Marques N° 120 – Centro – CEP 29620-000 – Itarana/ES – Tel.: (27) 3720-1666</w:t>
    </w:r>
  </w:p>
  <w:p w:rsidR="00000000" w:rsidDel="00000000" w:rsidP="00000000" w:rsidRDefault="00000000" w:rsidRPr="00000000" w14:paraId="00000022">
    <w:pPr>
      <w:pageBreakBefore w:val="0"/>
      <w:tabs>
        <w:tab w:val="center" w:pos="4252"/>
        <w:tab w:val="right" w:pos="8504"/>
      </w:tabs>
      <w:spacing w:after="0" w:line="240" w:lineRule="auto"/>
      <w:jc w:val="center"/>
      <w:rPr/>
    </w:pPr>
    <w:r w:rsidDel="00000000" w:rsidR="00000000" w:rsidRPr="00000000">
      <w:rPr>
        <w:rtl w:val="0"/>
      </w:rPr>
    </w:r>
  </w:p>
  <w:p w:rsidR="00000000" w:rsidDel="00000000" w:rsidP="00000000" w:rsidRDefault="00000000" w:rsidRPr="00000000" w14:paraId="00000023">
    <w:pPr>
      <w:pageBreakBefore w:val="0"/>
      <w:jc w:val="cente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E">
    <w:pPr>
      <w:tabs>
        <w:tab w:val="center" w:pos="4252"/>
        <w:tab w:val="right" w:pos="8504"/>
      </w:tabs>
      <w:spacing w:after="0" w:line="240" w:lineRule="auto"/>
      <w:jc w:val="center"/>
      <w:rPr/>
    </w:pPr>
    <w:r w:rsidDel="00000000" w:rsidR="00000000" w:rsidRPr="00000000">
      <w:rPr/>
      <w:drawing>
        <wp:inline distB="0" distT="0" distL="0" distR="0">
          <wp:extent cx="2880000" cy="1485137"/>
          <wp:effectExtent b="0" l="0" r="0" t="0"/>
          <wp:docPr id="4" name="image1.png"/>
          <a:graphic>
            <a:graphicData uri="http://schemas.openxmlformats.org/drawingml/2006/picture">
              <pic:pic>
                <pic:nvPicPr>
                  <pic:cNvPr id="0" name="image1.png"/>
                  <pic:cNvPicPr preferRelativeResize="0"/>
                </pic:nvPicPr>
                <pic:blipFill>
                  <a:blip r:embed="rId1"/>
                  <a:srcRect b="13631" l="0" r="0" t="0"/>
                  <a:stretch>
                    <a:fillRect/>
                  </a:stretch>
                </pic:blipFill>
                <pic:spPr>
                  <a:xfrm>
                    <a:off x="0" y="0"/>
                    <a:ext cx="2880000" cy="1485137"/>
                  </a:xfrm>
                  <a:prstGeom prst="rect"/>
                  <a:ln/>
                </pic:spPr>
              </pic:pic>
            </a:graphicData>
          </a:graphic>
        </wp:inline>
      </w:drawing>
    </w:r>
    <w:r w:rsidDel="00000000" w:rsidR="00000000" w:rsidRPr="00000000">
      <w:rPr>
        <w:rtl w:val="0"/>
      </w:rPr>
    </w:r>
  </w:p>
  <w:p w:rsidR="00000000" w:rsidDel="00000000" w:rsidP="00000000" w:rsidRDefault="00000000" w:rsidRPr="00000000" w14:paraId="0000001F">
    <w:pPr>
      <w:tabs>
        <w:tab w:val="center" w:pos="4252"/>
        <w:tab w:val="right" w:pos="8504"/>
      </w:tabs>
      <w:spacing w:after="0" w:line="240" w:lineRule="auto"/>
      <w:jc w:val="center"/>
      <w:rPr>
        <w:b w:val="1"/>
      </w:rPr>
    </w:pPr>
    <w:r w:rsidDel="00000000" w:rsidR="00000000" w:rsidRPr="00000000">
      <w:rPr>
        <w:rFonts w:ascii="Times New Roman" w:cs="Times New Roman" w:eastAsia="Times New Roman" w:hAnsi="Times New Roman"/>
        <w:sz w:val="20"/>
        <w:szCs w:val="20"/>
        <w:rtl w:val="0"/>
      </w:rPr>
      <w:t xml:space="preserve">SECRETARIA MUNICIPAL DE AGRICULTURA E MEIO AMBIENTE</w:t>
    </w:r>
    <w:r w:rsidDel="00000000" w:rsidR="00000000" w:rsidRPr="00000000">
      <w:rPr>
        <w:rtl w:val="0"/>
      </w:rPr>
    </w:r>
  </w:p>
  <w:p w:rsidR="00000000" w:rsidDel="00000000" w:rsidP="00000000" w:rsidRDefault="00000000" w:rsidRPr="00000000" w14:paraId="00000020">
    <w:pPr>
      <w:pageBreakBefore w:val="0"/>
      <w:tabs>
        <w:tab w:val="center" w:pos="4252"/>
        <w:tab w:val="right" w:pos="8504"/>
      </w:tabs>
      <w:spacing w:after="0" w:line="240" w:lineRule="auto"/>
      <w:jc w:val="cente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abstractNum w:abstractNumId="2">
    <w:lvl w:ilvl="0">
      <w:start w:val="1"/>
      <w:numFmt w:val="lowerLetter"/>
      <w:lvlText w:val="%1)"/>
      <w:lvlJc w:val="left"/>
      <w:pPr>
        <w:ind w:left="19"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080" w:firstLine="0"/>
      </w:pPr>
      <w:rPr>
        <w:rFonts w:ascii="Verdana" w:cs="Verdana" w:eastAsia="Verdana" w:hAnsi="Verdana"/>
        <w:b w:val="0"/>
        <w:i w:val="0"/>
        <w:strike w:val="0"/>
        <w:color w:val="000000"/>
        <w:sz w:val="13"/>
        <w:szCs w:val="13"/>
        <w:u w:val="none"/>
        <w:vertAlign w:val="baseline"/>
      </w:rPr>
    </w:lvl>
    <w:lvl w:ilvl="2">
      <w:start w:val="1"/>
      <w:numFmt w:val="lowerRoman"/>
      <w:lvlText w:val="%3"/>
      <w:lvlJc w:val="left"/>
      <w:pPr>
        <w:ind w:left="1800" w:firstLine="0"/>
      </w:pPr>
      <w:rPr>
        <w:rFonts w:ascii="Verdana" w:cs="Verdana" w:eastAsia="Verdana" w:hAnsi="Verdana"/>
        <w:b w:val="0"/>
        <w:i w:val="0"/>
        <w:strike w:val="0"/>
        <w:color w:val="000000"/>
        <w:sz w:val="13"/>
        <w:szCs w:val="13"/>
        <w:u w:val="none"/>
        <w:vertAlign w:val="baseline"/>
      </w:rPr>
    </w:lvl>
    <w:lvl w:ilvl="3">
      <w:start w:val="1"/>
      <w:numFmt w:val="decimal"/>
      <w:lvlText w:val="%4"/>
      <w:lvlJc w:val="left"/>
      <w:pPr>
        <w:ind w:left="2520" w:firstLine="0"/>
      </w:pPr>
      <w:rPr>
        <w:rFonts w:ascii="Verdana" w:cs="Verdana" w:eastAsia="Verdana" w:hAnsi="Verdana"/>
        <w:b w:val="0"/>
        <w:i w:val="0"/>
        <w:strike w:val="0"/>
        <w:color w:val="000000"/>
        <w:sz w:val="13"/>
        <w:szCs w:val="13"/>
        <w:u w:val="none"/>
        <w:vertAlign w:val="baseline"/>
      </w:rPr>
    </w:lvl>
    <w:lvl w:ilvl="4">
      <w:start w:val="1"/>
      <w:numFmt w:val="lowerLetter"/>
      <w:lvlText w:val="%5"/>
      <w:lvlJc w:val="left"/>
      <w:pPr>
        <w:ind w:left="3240" w:firstLine="0"/>
      </w:pPr>
      <w:rPr>
        <w:rFonts w:ascii="Verdana" w:cs="Verdana" w:eastAsia="Verdana" w:hAnsi="Verdana"/>
        <w:b w:val="0"/>
        <w:i w:val="0"/>
        <w:strike w:val="0"/>
        <w:color w:val="000000"/>
        <w:sz w:val="13"/>
        <w:szCs w:val="13"/>
        <w:u w:val="none"/>
        <w:vertAlign w:val="baseline"/>
      </w:rPr>
    </w:lvl>
    <w:lvl w:ilvl="5">
      <w:start w:val="1"/>
      <w:numFmt w:val="lowerRoman"/>
      <w:lvlText w:val="%6"/>
      <w:lvlJc w:val="left"/>
      <w:pPr>
        <w:ind w:left="3960" w:firstLine="0"/>
      </w:pPr>
      <w:rPr>
        <w:rFonts w:ascii="Verdana" w:cs="Verdana" w:eastAsia="Verdana" w:hAnsi="Verdana"/>
        <w:b w:val="0"/>
        <w:i w:val="0"/>
        <w:strike w:val="0"/>
        <w:color w:val="000000"/>
        <w:sz w:val="13"/>
        <w:szCs w:val="13"/>
        <w:u w:val="none"/>
        <w:vertAlign w:val="baseline"/>
      </w:rPr>
    </w:lvl>
    <w:lvl w:ilvl="6">
      <w:start w:val="1"/>
      <w:numFmt w:val="decimal"/>
      <w:lvlText w:val="%7"/>
      <w:lvlJc w:val="left"/>
      <w:pPr>
        <w:ind w:left="4680" w:firstLine="0"/>
      </w:pPr>
      <w:rPr>
        <w:rFonts w:ascii="Verdana" w:cs="Verdana" w:eastAsia="Verdana" w:hAnsi="Verdana"/>
        <w:b w:val="0"/>
        <w:i w:val="0"/>
        <w:strike w:val="0"/>
        <w:color w:val="000000"/>
        <w:sz w:val="13"/>
        <w:szCs w:val="13"/>
        <w:u w:val="none"/>
        <w:vertAlign w:val="baseline"/>
      </w:rPr>
    </w:lvl>
    <w:lvl w:ilvl="7">
      <w:start w:val="1"/>
      <w:numFmt w:val="lowerLetter"/>
      <w:lvlText w:val="%8"/>
      <w:lvlJc w:val="left"/>
      <w:pPr>
        <w:ind w:left="5400" w:firstLine="0"/>
      </w:pPr>
      <w:rPr>
        <w:rFonts w:ascii="Verdana" w:cs="Verdana" w:eastAsia="Verdana" w:hAnsi="Verdana"/>
        <w:b w:val="0"/>
        <w:i w:val="0"/>
        <w:strike w:val="0"/>
        <w:color w:val="000000"/>
        <w:sz w:val="13"/>
        <w:szCs w:val="13"/>
        <w:u w:val="none"/>
        <w:vertAlign w:val="baseline"/>
      </w:rPr>
    </w:lvl>
    <w:lvl w:ilvl="8">
      <w:start w:val="1"/>
      <w:numFmt w:val="lowerRoman"/>
      <w:lvlText w:val="%9"/>
      <w:lvlJc w:val="left"/>
      <w:pPr>
        <w:ind w:left="6120" w:firstLine="0"/>
      </w:pPr>
      <w:rPr>
        <w:rFonts w:ascii="Verdana" w:cs="Verdana" w:eastAsia="Verdana" w:hAnsi="Verdana"/>
        <w:b w:val="0"/>
        <w:i w:val="0"/>
        <w:strike w:val="0"/>
        <w:color w:val="000000"/>
        <w:sz w:val="13"/>
        <w:szCs w:val="13"/>
        <w:u w:val="none"/>
        <w:vertAlign w:val="baseli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F27A2C"/>
    <w:pPr>
      <w:spacing w:after="160" w:line="256" w:lineRule="auto"/>
    </w:p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paragraph" w:styleId="PargrafodaLista">
    <w:name w:val="List Paragraph"/>
    <w:basedOn w:val="Normal"/>
    <w:uiPriority w:val="34"/>
    <w:qFormat w:val="1"/>
    <w:rsid w:val="00F27A2C"/>
    <w:pPr>
      <w:ind w:left="720"/>
      <w:contextualSpacing w:val="1"/>
    </w:pPr>
  </w:style>
  <w:style w:type="paragraph" w:styleId="Cabealho">
    <w:name w:val="header"/>
    <w:basedOn w:val="Normal"/>
    <w:link w:val="CabealhoChar"/>
    <w:uiPriority w:val="99"/>
    <w:unhideWhenUsed w:val="1"/>
    <w:rsid w:val="000D2C72"/>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0D2C72"/>
  </w:style>
  <w:style w:type="paragraph" w:styleId="Rodap">
    <w:name w:val="footer"/>
    <w:basedOn w:val="Normal"/>
    <w:link w:val="RodapChar"/>
    <w:uiPriority w:val="99"/>
    <w:unhideWhenUsed w:val="1"/>
    <w:rsid w:val="000D2C72"/>
    <w:pPr>
      <w:tabs>
        <w:tab w:val="center" w:pos="4252"/>
        <w:tab w:val="right" w:pos="8504"/>
      </w:tabs>
      <w:spacing w:after="0" w:line="240" w:lineRule="auto"/>
    </w:pPr>
  </w:style>
  <w:style w:type="character" w:styleId="RodapChar" w:customStyle="1">
    <w:name w:val="Rodapé Char"/>
    <w:basedOn w:val="Fontepargpadro"/>
    <w:link w:val="Rodap"/>
    <w:uiPriority w:val="99"/>
    <w:rsid w:val="000D2C72"/>
  </w:style>
  <w:style w:type="character" w:styleId="Hyperlink">
    <w:name w:val="Hyperlink"/>
    <w:rsid w:val="000D2C72"/>
    <w:rPr>
      <w:color w:val="0000ff"/>
      <w:u w:val="single"/>
    </w:rPr>
  </w:style>
  <w:style w:type="paragraph" w:styleId="Textodebalo">
    <w:name w:val="Balloon Text"/>
    <w:basedOn w:val="Normal"/>
    <w:link w:val="TextodebaloChar"/>
    <w:uiPriority w:val="99"/>
    <w:semiHidden w:val="1"/>
    <w:unhideWhenUsed w:val="1"/>
    <w:rsid w:val="000D2C72"/>
    <w:pPr>
      <w:spacing w:after="0" w:line="240" w:lineRule="auto"/>
    </w:pPr>
    <w:rPr>
      <w:rFonts w:ascii="Tahoma" w:cs="Tahoma" w:hAnsi="Tahoma"/>
      <w:sz w:val="16"/>
      <w:szCs w:val="16"/>
    </w:rPr>
  </w:style>
  <w:style w:type="character" w:styleId="TextodebaloChar" w:customStyle="1">
    <w:name w:val="Texto de balão Char"/>
    <w:basedOn w:val="Fontepargpadro"/>
    <w:link w:val="Textodebalo"/>
    <w:uiPriority w:val="99"/>
    <w:semiHidden w:val="1"/>
    <w:rsid w:val="000D2C72"/>
    <w:rPr>
      <w:rFonts w:ascii="Tahoma" w:cs="Tahoma" w:hAnsi="Tahoma"/>
      <w:sz w:val="16"/>
      <w:szCs w:val="16"/>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B/IRIDgjvuCyhYlqZJWuUMsFNEg==">AMUW2mVqcnQID8oqOpHcpG6tPd3xHyihoXdcfeQnG4kmE4MF5siGYs5rlXLFn035IrBXF3vLkBTlJbFtpuWqmcZsSZHSwkvlsW2d73/GbhlUudyDrnxbh0c=</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2018-07-16T18:18:00Z</dcterms:created>
  <dc:creator>Sabrina</dc:creator>
</cp:coreProperties>
</file>